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5221" w14:textId="77777777" w:rsidR="00EA30F8" w:rsidRDefault="00000000">
      <w:pPr>
        <w:pStyle w:val="Overskrift1"/>
        <w:ind w:left="3" w:firstLine="0"/>
        <w:jc w:val="center"/>
      </w:pPr>
      <w:bookmarkStart w:id="0" w:name="_Toc7042"/>
      <w:r>
        <w:t xml:space="preserve">Informationsbrev </w:t>
      </w:r>
      <w:bookmarkEnd w:id="0"/>
    </w:p>
    <w:p w14:paraId="284067E6" w14:textId="77777777" w:rsidR="00EA30F8" w:rsidRDefault="00000000">
      <w:pPr>
        <w:spacing w:after="180" w:line="259" w:lineRule="auto"/>
        <w:ind w:left="0" w:firstLine="0"/>
      </w:pPr>
      <w:r>
        <w:t xml:space="preserve"> </w:t>
      </w:r>
    </w:p>
    <w:p w14:paraId="49DEA6F7" w14:textId="77777777" w:rsidR="00EA30F8" w:rsidRDefault="00000000">
      <w:pPr>
        <w:spacing w:after="184" w:line="259" w:lineRule="auto"/>
        <w:ind w:left="0" w:firstLine="0"/>
      </w:pPr>
      <w:r>
        <w:t xml:space="preserve"> </w:t>
      </w:r>
    </w:p>
    <w:p w14:paraId="7DB82559" w14:textId="77777777" w:rsidR="00EA30F8" w:rsidRDefault="00000000">
      <w:pPr>
        <w:spacing w:after="340" w:line="259" w:lineRule="auto"/>
        <w:ind w:left="0" w:firstLine="0"/>
      </w:pPr>
      <w:r>
        <w:t xml:space="preserve"> </w:t>
      </w:r>
    </w:p>
    <w:p w14:paraId="1C7DBC73" w14:textId="77777777" w:rsidR="00EA30F8" w:rsidRDefault="00000000">
      <w:pPr>
        <w:spacing w:after="0" w:line="259" w:lineRule="auto"/>
        <w:ind w:left="0" w:firstLine="0"/>
      </w:pPr>
      <w:r>
        <w:rPr>
          <w:color w:val="0F4761"/>
          <w:sz w:val="32"/>
        </w:rPr>
        <w:t xml:space="preserve">Indholdsfortegnelse </w:t>
      </w:r>
    </w:p>
    <w:sdt>
      <w:sdtPr>
        <w:id w:val="1547569273"/>
        <w:docPartObj>
          <w:docPartGallery w:val="Table of Contents"/>
        </w:docPartObj>
      </w:sdtPr>
      <w:sdtContent>
        <w:p w14:paraId="1EB337A9" w14:textId="77777777" w:rsidR="00EA30F8" w:rsidRDefault="00000000">
          <w:pPr>
            <w:pStyle w:val="Indholdsfortegnelse1"/>
            <w:tabs>
              <w:tab w:val="right" w:leader="dot" w:pos="9631"/>
            </w:tabs>
          </w:pPr>
          <w:r>
            <w:fldChar w:fldCharType="begin"/>
          </w:r>
          <w:r>
            <w:instrText xml:space="preserve"> TOC \o "1-2" \h \z \u </w:instrText>
          </w:r>
          <w:r>
            <w:fldChar w:fldCharType="separate"/>
          </w:r>
          <w:hyperlink w:anchor="_Toc7042">
            <w:r>
              <w:t>Informationsbrev</w:t>
            </w:r>
            <w:r>
              <w:tab/>
            </w:r>
            <w:r>
              <w:fldChar w:fldCharType="begin"/>
            </w:r>
            <w:r>
              <w:instrText>PAGEREF _Toc7042 \h</w:instrText>
            </w:r>
            <w:r>
              <w:fldChar w:fldCharType="separate"/>
            </w:r>
            <w:r>
              <w:t xml:space="preserve">1 </w:t>
            </w:r>
            <w:r>
              <w:fldChar w:fldCharType="end"/>
            </w:r>
          </w:hyperlink>
        </w:p>
        <w:p w14:paraId="5C6B047E" w14:textId="77777777" w:rsidR="00EA30F8" w:rsidRDefault="00000000">
          <w:pPr>
            <w:pStyle w:val="Indholdsfortegnelse1"/>
            <w:tabs>
              <w:tab w:val="right" w:leader="dot" w:pos="9631"/>
            </w:tabs>
          </w:pPr>
          <w:hyperlink w:anchor="_Toc7043">
            <w:r>
              <w:t>Indledning</w:t>
            </w:r>
            <w:r>
              <w:tab/>
            </w:r>
            <w:r>
              <w:fldChar w:fldCharType="begin"/>
            </w:r>
            <w:r>
              <w:instrText>PAGEREF _Toc7043 \h</w:instrText>
            </w:r>
            <w:r>
              <w:fldChar w:fldCharType="separate"/>
            </w:r>
            <w:r>
              <w:t xml:space="preserve">2 </w:t>
            </w:r>
            <w:r>
              <w:fldChar w:fldCharType="end"/>
            </w:r>
          </w:hyperlink>
        </w:p>
        <w:p w14:paraId="10983529" w14:textId="77777777" w:rsidR="00EA30F8" w:rsidRDefault="00000000">
          <w:pPr>
            <w:pStyle w:val="Indholdsfortegnelse1"/>
            <w:tabs>
              <w:tab w:val="right" w:leader="dot" w:pos="9631"/>
            </w:tabs>
          </w:pPr>
          <w:hyperlink w:anchor="_Toc7044">
            <w:r>
              <w:t>Om dette informationsbrev</w:t>
            </w:r>
            <w:r>
              <w:tab/>
            </w:r>
            <w:r>
              <w:fldChar w:fldCharType="begin"/>
            </w:r>
            <w:r>
              <w:instrText>PAGEREF _Toc7044 \h</w:instrText>
            </w:r>
            <w:r>
              <w:fldChar w:fldCharType="separate"/>
            </w:r>
            <w:r>
              <w:t xml:space="preserve">2 </w:t>
            </w:r>
            <w:r>
              <w:fldChar w:fldCharType="end"/>
            </w:r>
          </w:hyperlink>
        </w:p>
        <w:p w14:paraId="3A3C2223" w14:textId="77777777" w:rsidR="00EA30F8" w:rsidRDefault="00000000">
          <w:pPr>
            <w:pStyle w:val="Indholdsfortegnelse1"/>
            <w:tabs>
              <w:tab w:val="right" w:leader="dot" w:pos="9631"/>
            </w:tabs>
          </w:pPr>
          <w:hyperlink w:anchor="_Toc7045">
            <w:r>
              <w:t>Kystsikringsgruppens arbejdsgrundlag</w:t>
            </w:r>
            <w:r>
              <w:tab/>
            </w:r>
            <w:r>
              <w:fldChar w:fldCharType="begin"/>
            </w:r>
            <w:r>
              <w:instrText>PAGEREF _Toc7045 \h</w:instrText>
            </w:r>
            <w:r>
              <w:fldChar w:fldCharType="separate"/>
            </w:r>
            <w:r>
              <w:t xml:space="preserve">2 </w:t>
            </w:r>
            <w:r>
              <w:fldChar w:fldCharType="end"/>
            </w:r>
          </w:hyperlink>
        </w:p>
        <w:p w14:paraId="2FF6740E" w14:textId="77777777" w:rsidR="00EA30F8" w:rsidRDefault="00000000">
          <w:pPr>
            <w:pStyle w:val="Indholdsfortegnelse1"/>
            <w:tabs>
              <w:tab w:val="right" w:leader="dot" w:pos="9631"/>
            </w:tabs>
          </w:pPr>
          <w:hyperlink w:anchor="_Toc7046">
            <w:r>
              <w:t>Samarbejde med myndighederne</w:t>
            </w:r>
            <w:r>
              <w:tab/>
            </w:r>
            <w:r>
              <w:fldChar w:fldCharType="begin"/>
            </w:r>
            <w:r>
              <w:instrText>PAGEREF _Toc7046 \h</w:instrText>
            </w:r>
            <w:r>
              <w:fldChar w:fldCharType="separate"/>
            </w:r>
            <w:r>
              <w:t xml:space="preserve">3 </w:t>
            </w:r>
            <w:r>
              <w:fldChar w:fldCharType="end"/>
            </w:r>
          </w:hyperlink>
        </w:p>
        <w:p w14:paraId="1CCF00AC" w14:textId="77777777" w:rsidR="00EA30F8" w:rsidRDefault="00000000">
          <w:pPr>
            <w:pStyle w:val="Indholdsfortegnelse1"/>
            <w:tabs>
              <w:tab w:val="right" w:leader="dot" w:pos="9631"/>
            </w:tabs>
          </w:pPr>
          <w:hyperlink w:anchor="_Toc7047">
            <w:r>
              <w:t>Etablering af viden</w:t>
            </w:r>
            <w:r>
              <w:tab/>
            </w:r>
            <w:r>
              <w:fldChar w:fldCharType="begin"/>
            </w:r>
            <w:r>
              <w:instrText>PAGEREF _Toc7047 \h</w:instrText>
            </w:r>
            <w:r>
              <w:fldChar w:fldCharType="separate"/>
            </w:r>
            <w:r>
              <w:t xml:space="preserve">3 </w:t>
            </w:r>
            <w:r>
              <w:fldChar w:fldCharType="end"/>
            </w:r>
          </w:hyperlink>
        </w:p>
        <w:p w14:paraId="4C599A2E" w14:textId="77777777" w:rsidR="00EA30F8" w:rsidRDefault="00000000">
          <w:pPr>
            <w:pStyle w:val="Indholdsfortegnelse1"/>
            <w:tabs>
              <w:tab w:val="right" w:leader="dot" w:pos="9631"/>
            </w:tabs>
          </w:pPr>
          <w:hyperlink w:anchor="_Toc7048">
            <w:r>
              <w:t>Presse</w:t>
            </w:r>
            <w:r>
              <w:tab/>
            </w:r>
            <w:r>
              <w:fldChar w:fldCharType="begin"/>
            </w:r>
            <w:r>
              <w:instrText>PAGEREF _Toc7048 \h</w:instrText>
            </w:r>
            <w:r>
              <w:fldChar w:fldCharType="separate"/>
            </w:r>
            <w:r>
              <w:t xml:space="preserve">4 </w:t>
            </w:r>
            <w:r>
              <w:fldChar w:fldCharType="end"/>
            </w:r>
          </w:hyperlink>
        </w:p>
        <w:p w14:paraId="247CAC6E" w14:textId="77777777" w:rsidR="00EA30F8" w:rsidRDefault="00000000">
          <w:pPr>
            <w:pStyle w:val="Indholdsfortegnelse1"/>
            <w:tabs>
              <w:tab w:val="right" w:leader="dot" w:pos="9631"/>
            </w:tabs>
          </w:pPr>
          <w:hyperlink w:anchor="_Toc7049">
            <w:r>
              <w:t>Udvidelsen af Hirtshals Havn</w:t>
            </w:r>
            <w:r>
              <w:tab/>
            </w:r>
            <w:r>
              <w:fldChar w:fldCharType="begin"/>
            </w:r>
            <w:r>
              <w:instrText>PAGEREF _Toc7049 \h</w:instrText>
            </w:r>
            <w:r>
              <w:fldChar w:fldCharType="separate"/>
            </w:r>
            <w:r>
              <w:t xml:space="preserve">4 </w:t>
            </w:r>
            <w:r>
              <w:fldChar w:fldCharType="end"/>
            </w:r>
          </w:hyperlink>
        </w:p>
        <w:p w14:paraId="5DEFCA02" w14:textId="77777777" w:rsidR="00EA30F8" w:rsidRDefault="00000000">
          <w:pPr>
            <w:pStyle w:val="Indholdsfortegnelse2"/>
            <w:tabs>
              <w:tab w:val="right" w:leader="dot" w:pos="9631"/>
            </w:tabs>
          </w:pPr>
          <w:hyperlink w:anchor="_Toc7050">
            <w:r>
              <w:t>Krav til VVM (Vurdering af Virkninger på Miljøet)</w:t>
            </w:r>
            <w:r>
              <w:tab/>
            </w:r>
            <w:r>
              <w:fldChar w:fldCharType="begin"/>
            </w:r>
            <w:r>
              <w:instrText>PAGEREF _Toc7050 \h</w:instrText>
            </w:r>
            <w:r>
              <w:fldChar w:fldCharType="separate"/>
            </w:r>
            <w:r>
              <w:t xml:space="preserve">4 </w:t>
            </w:r>
            <w:r>
              <w:fldChar w:fldCharType="end"/>
            </w:r>
          </w:hyperlink>
        </w:p>
        <w:p w14:paraId="53258498" w14:textId="77777777" w:rsidR="00EA30F8" w:rsidRDefault="00000000">
          <w:pPr>
            <w:pStyle w:val="Indholdsfortegnelse2"/>
            <w:tabs>
              <w:tab w:val="right" w:leader="dot" w:pos="9631"/>
            </w:tabs>
          </w:pPr>
          <w:hyperlink w:anchor="_Toc7051">
            <w:r>
              <w:t>Utilsigtet modtagelse af rapport</w:t>
            </w:r>
            <w:r>
              <w:tab/>
            </w:r>
            <w:r>
              <w:fldChar w:fldCharType="begin"/>
            </w:r>
            <w:r>
              <w:instrText>PAGEREF _Toc7051 \h</w:instrText>
            </w:r>
            <w:r>
              <w:fldChar w:fldCharType="separate"/>
            </w:r>
            <w:r>
              <w:t xml:space="preserve">5 </w:t>
            </w:r>
            <w:r>
              <w:fldChar w:fldCharType="end"/>
            </w:r>
          </w:hyperlink>
        </w:p>
        <w:p w14:paraId="615C9B33" w14:textId="77777777" w:rsidR="00EA30F8" w:rsidRDefault="00000000">
          <w:pPr>
            <w:pStyle w:val="Indholdsfortegnelse2"/>
            <w:tabs>
              <w:tab w:val="right" w:leader="dot" w:pos="9631"/>
            </w:tabs>
          </w:pPr>
          <w:hyperlink w:anchor="_Toc7052">
            <w:r>
              <w:t>Ny antagelse om sedimenttransport</w:t>
            </w:r>
            <w:r>
              <w:tab/>
            </w:r>
            <w:r>
              <w:fldChar w:fldCharType="begin"/>
            </w:r>
            <w:r>
              <w:instrText>PAGEREF _Toc7052 \h</w:instrText>
            </w:r>
            <w:r>
              <w:fldChar w:fldCharType="separate"/>
            </w:r>
            <w:r>
              <w:t xml:space="preserve">6 </w:t>
            </w:r>
            <w:r>
              <w:fldChar w:fldCharType="end"/>
            </w:r>
          </w:hyperlink>
        </w:p>
        <w:p w14:paraId="38BAE784" w14:textId="77777777" w:rsidR="00EA30F8" w:rsidRDefault="00000000">
          <w:pPr>
            <w:pStyle w:val="Indholdsfortegnelse2"/>
            <w:tabs>
              <w:tab w:val="right" w:leader="dot" w:pos="9631"/>
            </w:tabs>
          </w:pPr>
          <w:hyperlink w:anchor="_Toc7053">
            <w:r>
              <w:t>Nye forudsætninger for dispensationen til nyttiggørelse</w:t>
            </w:r>
            <w:r>
              <w:tab/>
            </w:r>
            <w:r>
              <w:fldChar w:fldCharType="begin"/>
            </w:r>
            <w:r>
              <w:instrText>PAGEREF _Toc7053 \h</w:instrText>
            </w:r>
            <w:r>
              <w:fldChar w:fldCharType="separate"/>
            </w:r>
            <w:r>
              <w:t xml:space="preserve">6 </w:t>
            </w:r>
            <w:r>
              <w:fldChar w:fldCharType="end"/>
            </w:r>
          </w:hyperlink>
        </w:p>
        <w:p w14:paraId="755093AF" w14:textId="77777777" w:rsidR="00EA30F8" w:rsidRDefault="00000000">
          <w:pPr>
            <w:pStyle w:val="Indholdsfortegnelse2"/>
            <w:tabs>
              <w:tab w:val="right" w:leader="dot" w:pos="9631"/>
            </w:tabs>
          </w:pPr>
          <w:hyperlink w:anchor="_Toc7054">
            <w:r>
              <w:t>Ny strategi for havneudbygningen</w:t>
            </w:r>
            <w:r>
              <w:tab/>
            </w:r>
            <w:r>
              <w:fldChar w:fldCharType="begin"/>
            </w:r>
            <w:r>
              <w:instrText>PAGEREF _Toc7054 \h</w:instrText>
            </w:r>
            <w:r>
              <w:fldChar w:fldCharType="separate"/>
            </w:r>
            <w:r>
              <w:t xml:space="preserve">6 </w:t>
            </w:r>
            <w:r>
              <w:fldChar w:fldCharType="end"/>
            </w:r>
          </w:hyperlink>
        </w:p>
        <w:p w14:paraId="2F3E8D85" w14:textId="77777777" w:rsidR="00EA30F8" w:rsidRDefault="00000000">
          <w:pPr>
            <w:pStyle w:val="Indholdsfortegnelse2"/>
            <w:tabs>
              <w:tab w:val="right" w:leader="dot" w:pos="9631"/>
            </w:tabs>
          </w:pPr>
          <w:hyperlink w:anchor="_Toc7055">
            <w:r>
              <w:t>Seneste nyt</w:t>
            </w:r>
            <w:r>
              <w:tab/>
            </w:r>
            <w:r>
              <w:fldChar w:fldCharType="begin"/>
            </w:r>
            <w:r>
              <w:instrText>PAGEREF _Toc7055 \h</w:instrText>
            </w:r>
            <w:r>
              <w:fldChar w:fldCharType="separate"/>
            </w:r>
            <w:r>
              <w:t xml:space="preserve">6 </w:t>
            </w:r>
            <w:r>
              <w:fldChar w:fldCharType="end"/>
            </w:r>
          </w:hyperlink>
        </w:p>
        <w:p w14:paraId="0DC8055B" w14:textId="77777777" w:rsidR="00EA30F8" w:rsidRDefault="00000000">
          <w:pPr>
            <w:pStyle w:val="Indholdsfortegnelse1"/>
            <w:tabs>
              <w:tab w:val="right" w:leader="dot" w:pos="9631"/>
            </w:tabs>
          </w:pPr>
          <w:hyperlink w:anchor="_Toc7056">
            <w:r>
              <w:t>Fællesmøde</w:t>
            </w:r>
            <w:r>
              <w:tab/>
            </w:r>
            <w:r>
              <w:fldChar w:fldCharType="begin"/>
            </w:r>
            <w:r>
              <w:instrText>PAGEREF _Toc7056 \h</w:instrText>
            </w:r>
            <w:r>
              <w:fldChar w:fldCharType="separate"/>
            </w:r>
            <w:r>
              <w:t xml:space="preserve">7 </w:t>
            </w:r>
            <w:r>
              <w:fldChar w:fldCharType="end"/>
            </w:r>
          </w:hyperlink>
        </w:p>
        <w:p w14:paraId="4D8225F6" w14:textId="77777777" w:rsidR="00EA30F8" w:rsidRDefault="00000000">
          <w:r>
            <w:fldChar w:fldCharType="end"/>
          </w:r>
        </w:p>
      </w:sdtContent>
    </w:sdt>
    <w:p w14:paraId="14F72729" w14:textId="77777777" w:rsidR="00EA30F8" w:rsidRDefault="00000000">
      <w:pPr>
        <w:spacing w:after="184" w:line="259" w:lineRule="auto"/>
        <w:ind w:left="0" w:firstLine="0"/>
      </w:pPr>
      <w:r>
        <w:t xml:space="preserve"> </w:t>
      </w:r>
    </w:p>
    <w:p w14:paraId="68A60CBC" w14:textId="77777777" w:rsidR="00EA30F8" w:rsidRDefault="00000000">
      <w:pPr>
        <w:spacing w:after="189" w:line="259" w:lineRule="auto"/>
        <w:ind w:left="0" w:firstLine="0"/>
      </w:pPr>
      <w:r>
        <w:t xml:space="preserve"> </w:t>
      </w:r>
    </w:p>
    <w:p w14:paraId="45437505" w14:textId="77777777" w:rsidR="00EA30F8" w:rsidRDefault="00000000">
      <w:pPr>
        <w:spacing w:after="0" w:line="259" w:lineRule="auto"/>
        <w:ind w:left="0" w:firstLine="0"/>
      </w:pPr>
      <w:r>
        <w:rPr>
          <w:rFonts w:ascii="Arial" w:eastAsia="Arial" w:hAnsi="Arial" w:cs="Arial"/>
        </w:rPr>
        <w:t xml:space="preserve"> </w:t>
      </w:r>
      <w:r>
        <w:rPr>
          <w:rFonts w:ascii="Arial" w:eastAsia="Arial" w:hAnsi="Arial" w:cs="Arial"/>
        </w:rPr>
        <w:tab/>
      </w:r>
      <w:r>
        <w:t xml:space="preserve"> </w:t>
      </w:r>
    </w:p>
    <w:p w14:paraId="47ED09CC" w14:textId="77777777" w:rsidR="00EA30F8" w:rsidRDefault="00000000">
      <w:pPr>
        <w:spacing w:after="184" w:line="259" w:lineRule="auto"/>
        <w:ind w:left="0" w:firstLine="0"/>
      </w:pPr>
      <w:r>
        <w:t xml:space="preserve"> </w:t>
      </w:r>
    </w:p>
    <w:p w14:paraId="6B9DADCD" w14:textId="77777777" w:rsidR="00EA30F8" w:rsidRDefault="00000000">
      <w:pPr>
        <w:spacing w:after="536" w:line="259" w:lineRule="auto"/>
        <w:ind w:left="0" w:firstLine="0"/>
      </w:pPr>
      <w:r>
        <w:t xml:space="preserve"> </w:t>
      </w:r>
    </w:p>
    <w:p w14:paraId="1B217162" w14:textId="77777777" w:rsidR="00EA30F8" w:rsidRDefault="00000000">
      <w:pPr>
        <w:pStyle w:val="Overskrift1"/>
        <w:ind w:left="-5"/>
      </w:pPr>
      <w:bookmarkStart w:id="1" w:name="_Toc7043"/>
      <w:r>
        <w:lastRenderedPageBreak/>
        <w:t xml:space="preserve">Indledning </w:t>
      </w:r>
      <w:bookmarkEnd w:id="1"/>
    </w:p>
    <w:p w14:paraId="6D078342" w14:textId="77777777" w:rsidR="00EA30F8" w:rsidRDefault="00000000">
      <w:pPr>
        <w:spacing w:after="521"/>
        <w:ind w:left="-5"/>
      </w:pPr>
      <w:r>
        <w:t xml:space="preserve">Med dette informationsbrev ønsker Kystsikringsgruppen Tannisbugt at informere om gruppens arbejde og </w:t>
      </w:r>
      <w:r>
        <w:rPr>
          <w:b/>
        </w:rPr>
        <w:t>invitere alle interessenter til et møde Palmesøndag</w:t>
      </w:r>
      <w:r>
        <w:t xml:space="preserve"> den 13. april 2025 kl. 9.0010.15 på Tannishus i Tversted. </w:t>
      </w:r>
    </w:p>
    <w:p w14:paraId="54435FD4" w14:textId="77777777" w:rsidR="00EA30F8" w:rsidRDefault="00000000">
      <w:pPr>
        <w:pStyle w:val="Overskrift1"/>
        <w:ind w:left="-5"/>
      </w:pPr>
      <w:bookmarkStart w:id="2" w:name="_Toc7044"/>
      <w:r>
        <w:t xml:space="preserve">Om dette informationsbrev </w:t>
      </w:r>
      <w:bookmarkEnd w:id="2"/>
    </w:p>
    <w:p w14:paraId="37C034BD" w14:textId="77777777" w:rsidR="00EA30F8" w:rsidRDefault="00000000">
      <w:pPr>
        <w:ind w:left="-5"/>
      </w:pPr>
      <w:r>
        <w:t xml:space="preserve">Efter et par års informationspause er det nu tid til, at Kystsikringsgruppen Tannisbugt udsender et informationsbrev til alle vores interessenter i Tannisbugt.  </w:t>
      </w:r>
    </w:p>
    <w:p w14:paraId="63B3FFA3" w14:textId="77777777" w:rsidR="00EA30F8" w:rsidRDefault="00000000">
      <w:pPr>
        <w:ind w:left="-5"/>
      </w:pPr>
      <w:r>
        <w:t xml:space="preserve">Siden den seneste udsendelse af information til alle har arbejdsgruppen fokuseret på Hirtshals Havns indflydelse på erosionen i Tannisbugt, specielt strækningen frem til Skiveren. Derudover har Kystbeskyttelseslaget Gl. Skagen sideløbende arbejdet med forholdene i Gl. Skagen.  </w:t>
      </w:r>
    </w:p>
    <w:p w14:paraId="0B630D46" w14:textId="77777777" w:rsidR="00EA30F8" w:rsidRDefault="00000000">
      <w:pPr>
        <w:ind w:left="-5"/>
      </w:pPr>
      <w:r>
        <w:t xml:space="preserve">Nedenfor har vi fokus på de forhold, som relaterer sig til Hirtshals Havn, og som vi antager kan have indflydelse på hele Tannisbugt. </w:t>
      </w:r>
    </w:p>
    <w:p w14:paraId="7200EFF9" w14:textId="77777777" w:rsidR="00EA30F8" w:rsidRDefault="00000000">
      <w:pPr>
        <w:spacing w:after="518"/>
        <w:ind w:left="-5"/>
      </w:pPr>
      <w:r>
        <w:t xml:space="preserve">Grundejerforeninger og virksomheder i Tversted og Kjul har været mere involverede i arbejdet i den forløbne periode end de øvrige interessenter i Tannisbugt, og de vil derfor være bekendte med en stor del af den følgende information. </w:t>
      </w:r>
    </w:p>
    <w:p w14:paraId="2903107B" w14:textId="77777777" w:rsidR="00EA30F8" w:rsidRDefault="00000000">
      <w:pPr>
        <w:pStyle w:val="Overskrift1"/>
        <w:ind w:left="-5"/>
      </w:pPr>
      <w:bookmarkStart w:id="3" w:name="_Toc7045"/>
      <w:r>
        <w:t xml:space="preserve">Kystsikringsgruppens arbejdsgrundlag </w:t>
      </w:r>
      <w:bookmarkEnd w:id="3"/>
    </w:p>
    <w:p w14:paraId="759BFD3F" w14:textId="77777777" w:rsidR="00EA30F8" w:rsidRDefault="00000000">
      <w:pPr>
        <w:spacing w:after="14"/>
        <w:ind w:left="-5"/>
      </w:pPr>
      <w:r>
        <w:t xml:space="preserve">Vi formulerede den 20. januar 2022 vores arbejdsgrundlag, hvor vi i dialog med </w:t>
      </w:r>
    </w:p>
    <w:p w14:paraId="7C4F4D6C" w14:textId="77777777" w:rsidR="00EA30F8" w:rsidRDefault="00000000">
      <w:pPr>
        <w:ind w:left="-5"/>
      </w:pPr>
      <w:r>
        <w:t xml:space="preserve">beslutningstagerne vil sikre, at kysterne i Tannisbugt ikke udsættes for erosion som følge af Hirtshals Havn. For at gøre dette ønsker vi et fælles vidensgrundlag af hensyn til lokalsamfundene, beslutningstagerne og vores fælles interesser i attraktive kyster.  </w:t>
      </w:r>
    </w:p>
    <w:p w14:paraId="095A2C09" w14:textId="77777777" w:rsidR="00EA30F8" w:rsidRDefault="00000000">
      <w:pPr>
        <w:ind w:left="-5"/>
      </w:pPr>
      <w:r>
        <w:t xml:space="preserve">Vi ønsker, at reduktionen i den naturlige, nordgående sedimenttransport til Tannisbugt forårsaget af Hirtshals Havn kompenseres, i første omgang ved at det oprensede sand fra havnens sejlrende sendes videre til Tannisbugt, og at Lønstrup-kysten fremover kun tilføres sand fra et nyt indvindingsområde i havet fjernt fra kysten. </w:t>
      </w:r>
    </w:p>
    <w:p w14:paraId="63581C3A" w14:textId="77777777" w:rsidR="00EA30F8" w:rsidRDefault="00000000">
      <w:pPr>
        <w:ind w:left="-5"/>
      </w:pPr>
      <w:r>
        <w:t xml:space="preserve">Det er havnen, der foretager indgreb i forhold til naturens kræfter, og derfor må være økonomisk ansvarlig i forhold til merudgifterne i Tannisbugt. Vi er ikke modstandere af Hirtshals Havns videre udvikling, men der skal ikke sendes regninger videre til lokalsamfundene i Tannisbugt. </w:t>
      </w:r>
    </w:p>
    <w:p w14:paraId="463FB76F" w14:textId="77777777" w:rsidR="00EA30F8" w:rsidRDefault="00000000">
      <w:pPr>
        <w:spacing w:after="521"/>
        <w:ind w:left="-5"/>
      </w:pPr>
      <w:r>
        <w:t xml:space="preserve">Vi ønsker sammen med de to kommuner at etablere en fremadrettet fælles plan for overvågning og beskyttelse af Tannisbugt. </w:t>
      </w:r>
    </w:p>
    <w:p w14:paraId="156CF96A" w14:textId="77777777" w:rsidR="00EA30F8" w:rsidRDefault="00000000">
      <w:pPr>
        <w:pStyle w:val="Overskrift1"/>
        <w:ind w:left="-5"/>
      </w:pPr>
      <w:bookmarkStart w:id="4" w:name="_Toc7046"/>
      <w:r>
        <w:lastRenderedPageBreak/>
        <w:t xml:space="preserve">Samarbejde med myndighederne </w:t>
      </w:r>
      <w:bookmarkEnd w:id="4"/>
    </w:p>
    <w:p w14:paraId="10A9140E" w14:textId="77777777" w:rsidR="00EA30F8" w:rsidRDefault="00000000">
      <w:pPr>
        <w:spacing w:after="14"/>
        <w:ind w:left="-5"/>
      </w:pPr>
      <w:r>
        <w:t xml:space="preserve">Det fremgår af vores arbejdsgrundlag at vi ønsker en dialog med myndigheder og herunder </w:t>
      </w:r>
    </w:p>
    <w:p w14:paraId="41730792" w14:textId="77777777" w:rsidR="00EA30F8" w:rsidRDefault="00000000">
      <w:pPr>
        <w:spacing w:after="14"/>
        <w:ind w:left="-5"/>
      </w:pPr>
      <w:r>
        <w:t xml:space="preserve">Hirtshals Havn. Siden sidste informationsskrivelse er der afholdt flere møder med Hjørring og </w:t>
      </w:r>
    </w:p>
    <w:p w14:paraId="74F64580" w14:textId="77777777" w:rsidR="00EA30F8" w:rsidRDefault="00000000">
      <w:pPr>
        <w:spacing w:after="518"/>
        <w:ind w:left="-5"/>
      </w:pPr>
      <w:r>
        <w:t xml:space="preserve">Frederikshavn kommuner, Kystdirektoratet, Trafikministeriet, Hirtshals Havn og Aalborg Universitets afdeling for havnebygning. I denne forbindelse har vi fået et godt samarbejde med professor Torben Larsen, hvis faglige input og kritik sikrer, at der er et solidt fagligt grundlag bag vores arbejde. </w:t>
      </w:r>
    </w:p>
    <w:p w14:paraId="26D53B0F" w14:textId="77777777" w:rsidR="00EA30F8" w:rsidRDefault="00000000">
      <w:pPr>
        <w:pStyle w:val="Overskrift1"/>
        <w:ind w:left="-5"/>
      </w:pPr>
      <w:bookmarkStart w:id="5" w:name="_Toc7047"/>
      <w:r>
        <w:t xml:space="preserve">Etablering af viden </w:t>
      </w:r>
      <w:bookmarkEnd w:id="5"/>
    </w:p>
    <w:p w14:paraId="5D477627" w14:textId="77777777" w:rsidR="00EA30F8" w:rsidRDefault="00000000">
      <w:pPr>
        <w:spacing w:after="9"/>
        <w:ind w:left="-5"/>
      </w:pPr>
      <w:r>
        <w:t xml:space="preserve">Kystsikringsgruppen er meget optaget af at arbejde på et videns- og faktabaseret grundlag. Vi har derfor selv rekvireret to undersøgelser, som er udarbejdet af NIRAS. Den første var ”Kysten </w:t>
      </w:r>
    </w:p>
    <w:p w14:paraId="198CAFDB" w14:textId="77777777" w:rsidR="00EA30F8" w:rsidRDefault="00000000">
      <w:pPr>
        <w:ind w:left="-5"/>
      </w:pPr>
      <w:r>
        <w:t xml:space="preserve">mellem Hirtshals Havn og Grenen” oktober 2022 hvor udgifterne er afholdt af Kystbeskyttelseslaget Gl. Skagen. Den anden var ”Sandbudget mellem Kjul strand og Tversted” marts 2023, og her blev udgifterne afholdt af Tversted Borger- og Turistforening, Grundejerforeninger og </w:t>
      </w:r>
      <w:proofErr w:type="spellStart"/>
      <w:r>
        <w:t>vejlaug</w:t>
      </w:r>
      <w:proofErr w:type="spellEnd"/>
      <w:r>
        <w:t xml:space="preserve">, virksomheder og private i Tversted og Kjul. </w:t>
      </w:r>
    </w:p>
    <w:p w14:paraId="4543176F" w14:textId="77777777" w:rsidR="00EA30F8" w:rsidRDefault="00000000">
      <w:pPr>
        <w:spacing w:after="9"/>
        <w:ind w:left="-5"/>
      </w:pPr>
      <w:r>
        <w:t xml:space="preserve">Disse to undersøgelser tager udgangspunkt i de tidligere rapporter udarbejdet af DHI og Kystdirektoratet ved de sidste 30 års havneudvidelser og deres hovedkonklusioner er at der ved naturlige processer stort set ikke længere transporteres sediment forbi Hirtshals Havn fra kysten sydvest for havnen til kysten øst for havnen. Manglende bypass eller kystnær klapning kan være den medvirkende årsag til forøget erosion ved Kjul og Tversted. Det anbefales at placere sediment fra oprensning af Hirtshals Havn kystnært langs strækningen mellem Kjul og Tversted. Derudover viser analysen, at sedimenttransporten stiger generelt mellem Hirtshals </w:t>
      </w:r>
    </w:p>
    <w:p w14:paraId="39E6E3FA" w14:textId="77777777" w:rsidR="00EA30F8" w:rsidRDefault="00000000">
      <w:pPr>
        <w:ind w:left="-5"/>
      </w:pPr>
      <w:r>
        <w:t xml:space="preserve">Havn og Tversted, hvilket indebærer erosion og er konstant mellem Tversted og til lidt vest for Skiveren, og stiger igen fra lidt vest for Skiveren til Højen Fyr for derefter at falde. Dette indikerer, at der generelt foregår erosion fra Hirtshals til Grenen. </w:t>
      </w:r>
    </w:p>
    <w:p w14:paraId="69C4C1D0" w14:textId="77777777" w:rsidR="00EA30F8" w:rsidRDefault="00000000">
      <w:pPr>
        <w:ind w:left="-5"/>
      </w:pPr>
      <w:r>
        <w:t xml:space="preserve">Ud over Kystsikringsgruppens undersøgelse af kystdynamik har vi også indhentet oplysninger om de "administrative dynamikker" hos de forskellige myndigheder, der er involveret i behandlingen af Hirtshals Havns ansøgning om tilladelse til havneudvidelse. Denne indsats har resulteret i omfattende materiale og værdifuld information.  </w:t>
      </w:r>
    </w:p>
    <w:p w14:paraId="3C4C3A28" w14:textId="77777777" w:rsidR="00EA30F8" w:rsidRDefault="00000000">
      <w:pPr>
        <w:pStyle w:val="Overskrift1"/>
        <w:ind w:left="-5"/>
      </w:pPr>
      <w:bookmarkStart w:id="6" w:name="_Toc7048"/>
      <w:r>
        <w:t xml:space="preserve">Presse  </w:t>
      </w:r>
      <w:bookmarkEnd w:id="6"/>
    </w:p>
    <w:p w14:paraId="535FD218" w14:textId="77777777" w:rsidR="00EA30F8" w:rsidRDefault="00000000">
      <w:pPr>
        <w:ind w:left="-5"/>
      </w:pPr>
      <w:r>
        <w:t xml:space="preserve">Vi har i perioden gjort en indsats for at synliggøre erosionsproblemet gennem forskellige kanaler. TV2 Nord har sendt cirka fem indslag, og der har også været indslag i DR's aftennyheder med en god illustration af kysttilbagerykningen i Tversted. Derudover har både regionale og lokale radiokanaler dækket emnet. </w:t>
      </w:r>
    </w:p>
    <w:p w14:paraId="1E0BBA16" w14:textId="77777777" w:rsidR="00EA30F8" w:rsidRDefault="00000000">
      <w:pPr>
        <w:ind w:left="-5"/>
      </w:pPr>
      <w:r>
        <w:t xml:space="preserve">Når det kommer til trykte medier, har Nordjyske offentliggjort artikler og læserbreve, og Nordsøposten har ligeledes bragt flere artikler. Tversted Borger- og Turistforening udsender et </w:t>
      </w:r>
      <w:r>
        <w:lastRenderedPageBreak/>
        <w:t xml:space="preserve">nyhedsbrev til cirka 700 lokale abonnenter, hvor Kystsikringsgruppens arbejde og udfordringer er blevet omtalt omkring 10 gange. </w:t>
      </w:r>
    </w:p>
    <w:p w14:paraId="42EEAFE4" w14:textId="77777777" w:rsidR="00EA30F8" w:rsidRDefault="00000000">
      <w:pPr>
        <w:spacing w:after="521"/>
        <w:ind w:left="-5"/>
      </w:pPr>
      <w:r>
        <w:t xml:space="preserve">Vi har udfordringer med at engagere pressen i vores formidling. Kystens dynamik omkring Hirtshals Havn er et komplekst emne, som journalisterne ofte ikke har ressourcer til at dykke ned i, hvilket gør det vanskeligt for dem at stille dybdegående spørgsmål til myndighederne. Dette medfører, at journalisterne kan komme til at fungere som "mikrofonholdere". </w:t>
      </w:r>
    </w:p>
    <w:p w14:paraId="59DE85C2" w14:textId="77777777" w:rsidR="00EA30F8" w:rsidRDefault="00000000">
      <w:pPr>
        <w:pStyle w:val="Overskrift1"/>
        <w:ind w:left="-5"/>
      </w:pPr>
      <w:bookmarkStart w:id="7" w:name="_Toc7049"/>
      <w:r>
        <w:t xml:space="preserve">Udvidelsen af Hirtshals Havn </w:t>
      </w:r>
      <w:bookmarkEnd w:id="7"/>
    </w:p>
    <w:p w14:paraId="48BE4BB4" w14:textId="77777777" w:rsidR="00EA30F8" w:rsidRDefault="00000000">
      <w:pPr>
        <w:spacing w:after="9"/>
        <w:ind w:left="-5"/>
      </w:pPr>
      <w:r>
        <w:t xml:space="preserve">Hjørring Kommune og Hirtshals Havns ønske om at gennemføre en omfattende havneudvidelse har i høj grad optaget Kystsikringsgruppen i perioden. Vi indledte tidligt en dialog med politikerne, hvilket gav os et solidt grundlag for den skriftlige </w:t>
      </w:r>
      <w:proofErr w:type="spellStart"/>
      <w:r>
        <w:t>fordebat</w:t>
      </w:r>
      <w:proofErr w:type="spellEnd"/>
      <w:r>
        <w:t xml:space="preserve"> samt borgermødet i denne kontekst. Selv om havnens potentielle påvirkning af kysterne i </w:t>
      </w:r>
    </w:p>
    <w:p w14:paraId="476B0544" w14:textId="77777777" w:rsidR="00EA30F8" w:rsidRDefault="00000000">
      <w:pPr>
        <w:spacing w:after="9"/>
        <w:ind w:left="-5"/>
      </w:pPr>
      <w:r>
        <w:t xml:space="preserve">Tannisbugt var det dominerende emne i </w:t>
      </w:r>
      <w:proofErr w:type="spellStart"/>
      <w:r>
        <w:t>fordebatten</w:t>
      </w:r>
      <w:proofErr w:type="spellEnd"/>
      <w:r>
        <w:t xml:space="preserve">, viste det sig, at vores indflydelse på det senere forslag til afgrænsning af VVM-undersøgelsen var begrænset. </w:t>
      </w:r>
    </w:p>
    <w:p w14:paraId="6FB5E97A" w14:textId="77777777" w:rsidR="00EA30F8" w:rsidRDefault="00000000">
      <w:pPr>
        <w:spacing w:after="260" w:line="259" w:lineRule="auto"/>
        <w:ind w:left="0" w:firstLine="0"/>
      </w:pPr>
      <w:r>
        <w:t xml:space="preserve">  </w:t>
      </w:r>
    </w:p>
    <w:p w14:paraId="30CADD1D" w14:textId="77777777" w:rsidR="00EA30F8" w:rsidRDefault="00000000">
      <w:pPr>
        <w:pStyle w:val="Overskrift2"/>
        <w:spacing w:after="34" w:line="259" w:lineRule="auto"/>
        <w:ind w:left="-5"/>
        <w:jc w:val="left"/>
      </w:pPr>
      <w:bookmarkStart w:id="8" w:name="_Toc7050"/>
      <w:r>
        <w:rPr>
          <w:color w:val="0F4761"/>
          <w:sz w:val="32"/>
        </w:rPr>
        <w:t xml:space="preserve">Krav til VVM (Vurdering af Virkninger på Miljøet) </w:t>
      </w:r>
      <w:bookmarkEnd w:id="8"/>
    </w:p>
    <w:p w14:paraId="71917BAC" w14:textId="77777777" w:rsidR="00EA30F8" w:rsidRDefault="00000000">
      <w:pPr>
        <w:ind w:left="-5"/>
      </w:pPr>
      <w:r>
        <w:t xml:space="preserve">I det såkaldte afgrænsningsnotat til VVM-undersøgelsen refereres flere steder til undersøgelser af miljøpåvirkningen på kyst og sand, men definitionerne, afgrænsningerne og metodekravene var meget svagt formuleret. De kystmorfologiske konsekvenser er så omfattende og komplekse, at sammenhængende undersøgelser og analyser i </w:t>
      </w:r>
      <w:proofErr w:type="spellStart"/>
      <w:r>
        <w:t>VVMundersøgelserne</w:t>
      </w:r>
      <w:proofErr w:type="spellEnd"/>
      <w:r>
        <w:t xml:space="preserve"> er nødvendige. Baseret på rapporter og rådgivning fra de bedste danske eksperter på området opstillede vi derfor følgende krav til den nødvendige viden, som myndighederne skal bruge for at træffe informerede beslutninger. </w:t>
      </w:r>
    </w:p>
    <w:p w14:paraId="75426307" w14:textId="77777777" w:rsidR="00EA30F8" w:rsidRDefault="00000000">
      <w:pPr>
        <w:numPr>
          <w:ilvl w:val="0"/>
          <w:numId w:val="1"/>
        </w:numPr>
        <w:spacing w:after="25"/>
        <w:ind w:hanging="360"/>
      </w:pPr>
      <w:r>
        <w:t xml:space="preserve">Først og fremmest skal analysen dokumentere, hvilken akkumuleret konsekvens havnen har haft for </w:t>
      </w:r>
      <w:r>
        <w:rPr>
          <w:b/>
        </w:rPr>
        <w:t>sedimentbudgettet/sedimenttransporten</w:t>
      </w:r>
      <w:r>
        <w:t xml:space="preserve"> for de forskellige sektioner af Tannisbugt, siden havnen blev etableret (0-scenarie), ligesom det konkret skal analyseres, hvad en yderligere udvidelse vil betyde for sedimentbudgettet/ sedimenttransporten. Metode: numerisk simulering (dvs. </w:t>
      </w:r>
      <w:proofErr w:type="spellStart"/>
      <w:r>
        <w:t>edbmodelleringer</w:t>
      </w:r>
      <w:proofErr w:type="spellEnd"/>
      <w:r>
        <w:t xml:space="preserve">). </w:t>
      </w:r>
    </w:p>
    <w:p w14:paraId="0EDDF2F7" w14:textId="77777777" w:rsidR="00EA30F8" w:rsidRDefault="00000000">
      <w:pPr>
        <w:numPr>
          <w:ilvl w:val="0"/>
          <w:numId w:val="1"/>
        </w:numPr>
        <w:spacing w:after="26"/>
        <w:ind w:hanging="360"/>
      </w:pPr>
      <w:r>
        <w:t>Dernæst skal det analyseres, hvilken</w:t>
      </w:r>
      <w:r>
        <w:rPr>
          <w:b/>
        </w:rPr>
        <w:t xml:space="preserve"> akkumuleret læsideerosion</w:t>
      </w:r>
      <w:r>
        <w:t xml:space="preserve"> havnen har forårsaget siden havnens etablering på kysten øst for havnen, ligesom det konkret skal beregnes, hvilken forøget læsideerosion en yderligere havneudvidelse vil indebære. Metode: numerisk simulering. </w:t>
      </w:r>
    </w:p>
    <w:p w14:paraId="73BEA51A" w14:textId="77777777" w:rsidR="00EA30F8" w:rsidRDefault="00000000">
      <w:pPr>
        <w:numPr>
          <w:ilvl w:val="0"/>
          <w:numId w:val="1"/>
        </w:numPr>
        <w:spacing w:after="26"/>
        <w:ind w:hanging="360"/>
      </w:pPr>
      <w:r>
        <w:t xml:space="preserve">Ligeledes skal havnens påvirkning af størrelsen og mængden af </w:t>
      </w:r>
      <w:r>
        <w:rPr>
          <w:b/>
        </w:rPr>
        <w:t>sandbølger</w:t>
      </w:r>
      <w:r>
        <w:t xml:space="preserve"> analyseres. (Ved sandbølger forstås her de svingninger af kystlinjen, der ses ved Kjul og Tversted). </w:t>
      </w:r>
    </w:p>
    <w:p w14:paraId="73D0B933" w14:textId="77777777" w:rsidR="00EA30F8" w:rsidRDefault="00000000">
      <w:pPr>
        <w:numPr>
          <w:ilvl w:val="0"/>
          <w:numId w:val="1"/>
        </w:numPr>
        <w:spacing w:after="8" w:line="284" w:lineRule="auto"/>
        <w:ind w:hanging="360"/>
      </w:pPr>
      <w:r>
        <w:t xml:space="preserve">Ændres den nuværende linjeføring, dybde og bredde af </w:t>
      </w:r>
      <w:r>
        <w:rPr>
          <w:b/>
        </w:rPr>
        <w:t>sejlrenden</w:t>
      </w:r>
      <w:r>
        <w:t xml:space="preserve">, vil det påvirke ovennævnte kystmorfologiske forhold i Tannisbugt, og dette skal derfor analyseres selvstændigt i konsekvensrapporten. </w:t>
      </w:r>
    </w:p>
    <w:p w14:paraId="295DC2F4" w14:textId="77777777" w:rsidR="00EA30F8" w:rsidRDefault="00000000">
      <w:pPr>
        <w:numPr>
          <w:ilvl w:val="0"/>
          <w:numId w:val="1"/>
        </w:numPr>
        <w:spacing w:after="26"/>
        <w:ind w:hanging="360"/>
      </w:pPr>
      <w:r>
        <w:lastRenderedPageBreak/>
        <w:t xml:space="preserve">Hvis materialer til </w:t>
      </w:r>
      <w:r>
        <w:rPr>
          <w:b/>
        </w:rPr>
        <w:t>opfyld</w:t>
      </w:r>
      <w:r>
        <w:t xml:space="preserve"> af havneområdet hentes fra havet i nærheden af Hirtshals Havn, skal konsekvenserne for Tannisbugt dokumenteres. </w:t>
      </w:r>
    </w:p>
    <w:p w14:paraId="0D0CD400" w14:textId="77777777" w:rsidR="00EA30F8" w:rsidRDefault="00000000">
      <w:pPr>
        <w:numPr>
          <w:ilvl w:val="0"/>
          <w:numId w:val="1"/>
        </w:numPr>
        <w:spacing w:after="26"/>
        <w:ind w:hanging="360"/>
      </w:pPr>
      <w:r>
        <w:t xml:space="preserve">Endelig skal VVM-rapporten indeholde en analyse af de hidtidige sammenhænge mellem </w:t>
      </w:r>
      <w:r>
        <w:rPr>
          <w:b/>
        </w:rPr>
        <w:t>klappepraksis/manglende bypass</w:t>
      </w:r>
      <w:r>
        <w:t xml:space="preserve"> og erosion mod kysten ved Kjul/Tverstedområdet samt en beskrivelse af planlagt fremtidig klappepraksis og en konsekvensvurdering af den fremtidige praksis for klapning og bypass efter havneudvidelsen. </w:t>
      </w:r>
    </w:p>
    <w:p w14:paraId="402DB0CF" w14:textId="77777777" w:rsidR="00EA30F8" w:rsidRDefault="00000000">
      <w:pPr>
        <w:numPr>
          <w:ilvl w:val="0"/>
          <w:numId w:val="1"/>
        </w:numPr>
        <w:ind w:hanging="360"/>
      </w:pPr>
      <w:r>
        <w:t xml:space="preserve">Undersøgelserne skal fastlægge, hvorledes sedimentet, der oprenses fra indsejlingen, bedst </w:t>
      </w:r>
      <w:r>
        <w:rPr>
          <w:b/>
        </w:rPr>
        <w:t>nyttiggøres</w:t>
      </w:r>
      <w:r>
        <w:t xml:space="preserve"> til at beskytte kysterne i Tannisbugt. </w:t>
      </w:r>
    </w:p>
    <w:p w14:paraId="33E4C081" w14:textId="77777777" w:rsidR="00EA30F8" w:rsidRDefault="00000000">
      <w:pPr>
        <w:spacing w:after="245"/>
        <w:ind w:left="-5"/>
      </w:pPr>
      <w:r>
        <w:t xml:space="preserve">Selv om vi senere erfarede, at ikke alle vores krav blev opfyldt – især kravene vedrørende de akkumulerede konsekvenser og ønsket om en omfattende belysning af konsekvenserne for hele Tannisbugt – har det vist sig, at der alligevel er udført undersøgelser af høj relevans og kvalitet. </w:t>
      </w:r>
    </w:p>
    <w:p w14:paraId="69B9DD64" w14:textId="77777777" w:rsidR="00EA30F8" w:rsidRDefault="00000000">
      <w:pPr>
        <w:pStyle w:val="Overskrift2"/>
        <w:spacing w:after="34" w:line="259" w:lineRule="auto"/>
        <w:ind w:left="-5"/>
        <w:jc w:val="left"/>
      </w:pPr>
      <w:bookmarkStart w:id="9" w:name="_Toc7051"/>
      <w:r>
        <w:rPr>
          <w:color w:val="0F4761"/>
          <w:sz w:val="32"/>
        </w:rPr>
        <w:t xml:space="preserve">Utilsigtet modtagelse af rapport </w:t>
      </w:r>
      <w:bookmarkEnd w:id="9"/>
    </w:p>
    <w:p w14:paraId="1A6F3EF0" w14:textId="77777777" w:rsidR="00EA30F8" w:rsidRDefault="00000000">
      <w:pPr>
        <w:ind w:left="-5"/>
      </w:pPr>
      <w:r>
        <w:t xml:space="preserve">I forbindelse med en aktindsigt modtog Kystsikringsgruppen en rapport fra Rambøll, dateret den 24. januar 2024. Vi bemærkede især følgende konklusioner i rapporten:  </w:t>
      </w:r>
    </w:p>
    <w:p w14:paraId="38CE4F76" w14:textId="77777777" w:rsidR="00EA30F8" w:rsidRDefault="00000000">
      <w:pPr>
        <w:numPr>
          <w:ilvl w:val="0"/>
          <w:numId w:val="2"/>
        </w:numPr>
        <w:spacing w:after="22"/>
        <w:ind w:hanging="360"/>
      </w:pPr>
      <w:r>
        <w:t xml:space="preserve">Fra syd ankommer til Hirtshals Havn ca. 900.000 </w:t>
      </w:r>
      <w:proofErr w:type="spellStart"/>
      <w:r>
        <w:t>kbm</w:t>
      </w:r>
      <w:proofErr w:type="spellEnd"/>
      <w:r>
        <w:t xml:space="preserve"> sand årligt langs revlerne. Uden havnens indgriben ville disse tabes på dybt vand (i dagens lys, februar 2025, er dette næppe korrekt). </w:t>
      </w:r>
    </w:p>
    <w:p w14:paraId="5DCB2646" w14:textId="77777777" w:rsidR="00EA30F8" w:rsidRDefault="00000000">
      <w:pPr>
        <w:numPr>
          <w:ilvl w:val="0"/>
          <w:numId w:val="2"/>
        </w:numPr>
        <w:spacing w:after="26"/>
        <w:ind w:hanging="360"/>
      </w:pPr>
      <w:r>
        <w:t xml:space="preserve">Havnen oprenser ca. 350.000 </w:t>
      </w:r>
      <w:proofErr w:type="spellStart"/>
      <w:r>
        <w:t>kbm</w:t>
      </w:r>
      <w:proofErr w:type="spellEnd"/>
      <w:r>
        <w:t xml:space="preserve"> sand årligt i indsejlingsområdet, som delvis klappes på dybt vand, klappes kystnært øst for havnen og back-passes tilbage til kysten ved Lønstrup. </w:t>
      </w:r>
    </w:p>
    <w:p w14:paraId="55884569" w14:textId="77777777" w:rsidR="00EA30F8" w:rsidRDefault="00000000">
      <w:pPr>
        <w:numPr>
          <w:ilvl w:val="0"/>
          <w:numId w:val="2"/>
        </w:numPr>
        <w:ind w:hanging="360"/>
      </w:pPr>
      <w:r>
        <w:t xml:space="preserve">Havneudvidelsen vil yderligere i 30 år indebære et årligt tab på 200.000 </w:t>
      </w:r>
      <w:proofErr w:type="spellStart"/>
      <w:r>
        <w:t>kbm</w:t>
      </w:r>
      <w:proofErr w:type="spellEnd"/>
      <w:r>
        <w:t xml:space="preserve"> sand i forhold til kysten øst for havnen til udligning på havbunden (dvs. akkumulering øst og vest for ny vest mole). </w:t>
      </w:r>
    </w:p>
    <w:p w14:paraId="67DBC241" w14:textId="77777777" w:rsidR="00EA30F8" w:rsidRDefault="00000000">
      <w:pPr>
        <w:spacing w:after="14"/>
        <w:ind w:left="-5"/>
      </w:pPr>
      <w:r>
        <w:t xml:space="preserve">Med udgangspunkt i den nævnte rapport anmodede vi om et møde med Hjørring Kommune. </w:t>
      </w:r>
    </w:p>
    <w:p w14:paraId="74B83424" w14:textId="77777777" w:rsidR="00EA30F8" w:rsidRDefault="00000000">
      <w:pPr>
        <w:spacing w:after="8" w:line="284" w:lineRule="auto"/>
        <w:ind w:left="-5" w:right="107"/>
        <w:jc w:val="both"/>
      </w:pPr>
      <w:r>
        <w:t xml:space="preserve">Det viste sig imidlertid, at vi ikke skulle have haft adgang til rapporten. I stedet var Hjørring Kommune sammen med Kystdirektoratet ved at udvikle en helt ny forståelse af de dynamiske konsekvenser af Danmarkshistoriens største kysttekniske anlæg. </w:t>
      </w:r>
    </w:p>
    <w:p w14:paraId="59B544EF" w14:textId="77777777" w:rsidR="00EA30F8" w:rsidRDefault="00000000">
      <w:pPr>
        <w:pStyle w:val="Overskrift2"/>
        <w:ind w:left="-5" w:right="107"/>
      </w:pPr>
      <w:bookmarkStart w:id="10" w:name="_Toc7052"/>
      <w:r>
        <w:rPr>
          <w:color w:val="0F4761"/>
          <w:sz w:val="32"/>
        </w:rPr>
        <w:t xml:space="preserve">Ny antagelse om sedimenttransport </w:t>
      </w:r>
      <w:bookmarkEnd w:id="10"/>
    </w:p>
    <w:p w14:paraId="1A226868" w14:textId="77777777" w:rsidR="00EA30F8" w:rsidRDefault="00000000">
      <w:pPr>
        <w:ind w:left="-5"/>
      </w:pPr>
      <w:r>
        <w:t xml:space="preserve">Ifølge Dansk Hydraulisk Instituts (DHI) nyeste rapport fra 19. april 2024 med titlen ”Sedimentbudget omkring Hirtshals Havn og effekten af havneudvidelsen” anfægtes den hidtidige antagelse fra DHI og Kystdirektoratet (KDI) om, at hele den sydfra kommende sandtransport til Hirtshalspynten og Hirtshals Havn fortsætter ud på dybt vand i Tannisbugten og aflejres her, og ikke nordover langs kysten øst for havnen. </w:t>
      </w:r>
    </w:p>
    <w:p w14:paraId="350C209E" w14:textId="77777777" w:rsidR="00EA30F8" w:rsidRDefault="00000000">
      <w:pPr>
        <w:spacing w:after="8" w:line="284" w:lineRule="auto"/>
        <w:ind w:left="-5" w:right="-8"/>
        <w:jc w:val="both"/>
      </w:pPr>
      <w:r>
        <w:t xml:space="preserve">I rapporten dokumenteres det, at hele den sandtransport, der ankommer sydfra til havnens indsejlingsområde, transporteres til kystzonen øst for havnen, undtagen den mængde der oprenses i indsejlingen og fjernes fra området. Det centrale element i den nye forståelse er, at sandtransporten uden for bølgernes brydningszone nord om molerne sker via strømdrevne sandbølger, der fører </w:t>
      </w:r>
      <w:r>
        <w:lastRenderedPageBreak/>
        <w:t xml:space="preserve">sandet tilbage til revlezonen øst for havnen. Herfra fortsætter sandet nordover langs revlerne som normalt. Med </w:t>
      </w:r>
      <w:proofErr w:type="spellStart"/>
      <w:r>
        <w:t>DHI’s</w:t>
      </w:r>
      <w:proofErr w:type="spellEnd"/>
      <w:r>
        <w:t xml:space="preserve"> nye undersøgelse ændres således flere årtiers opfattelse af, hvordan sandtransporten omkring havnen foregår. </w:t>
      </w:r>
    </w:p>
    <w:p w14:paraId="2D4C2823" w14:textId="77777777" w:rsidR="00EA30F8" w:rsidRDefault="00000000">
      <w:pPr>
        <w:pStyle w:val="Overskrift2"/>
        <w:ind w:left="-5" w:right="-8"/>
      </w:pPr>
      <w:bookmarkStart w:id="11" w:name="_Toc7053"/>
      <w:r>
        <w:rPr>
          <w:color w:val="0F4761"/>
          <w:sz w:val="32"/>
        </w:rPr>
        <w:t xml:space="preserve">Nye forudsætninger for dispensationen til nyttiggørelse </w:t>
      </w:r>
      <w:bookmarkEnd w:id="11"/>
    </w:p>
    <w:p w14:paraId="5DAC9F47" w14:textId="77777777" w:rsidR="00EA30F8" w:rsidRDefault="00000000">
      <w:pPr>
        <w:spacing w:after="8" w:line="284" w:lineRule="auto"/>
        <w:ind w:left="-5" w:right="-8"/>
        <w:jc w:val="both"/>
      </w:pPr>
      <w:r>
        <w:t xml:space="preserve">Klagenævnet har tidligere godkendt </w:t>
      </w:r>
      <w:proofErr w:type="spellStart"/>
      <w:r>
        <w:t>KDI’s</w:t>
      </w:r>
      <w:proofErr w:type="spellEnd"/>
      <w:r>
        <w:t xml:space="preserve"> dispensation til at nyttiggøre oprenset sand fra indsejlingen til kystfodring ved Lønstrup. Imidlertid mener Kystsikringsgruppen, at med den nye viden er betingelserne for dispensation til nyttiggørelse af sedimenterne fra indsejlingen til havnen ikke længere opfyldt. Den 13. juni 2024 anmodede vi KDI om at inddrage tilladelsen til nyttiggørelse. Da vi ikke modtog noget svar på vores henvendelse, har vi overdraget sagen til advokat Louise Faber, som genfremsendte anmodningen den 29. november 2024. </w:t>
      </w:r>
    </w:p>
    <w:p w14:paraId="42675B75" w14:textId="77777777" w:rsidR="00EA30F8" w:rsidRDefault="00000000">
      <w:pPr>
        <w:pStyle w:val="Overskrift2"/>
        <w:ind w:left="-5" w:right="-8"/>
      </w:pPr>
      <w:bookmarkStart w:id="12" w:name="_Toc7054"/>
      <w:r>
        <w:rPr>
          <w:color w:val="0F4761"/>
          <w:sz w:val="32"/>
        </w:rPr>
        <w:t xml:space="preserve">Ny strategi for havneudbygningen </w:t>
      </w:r>
      <w:bookmarkEnd w:id="12"/>
    </w:p>
    <w:p w14:paraId="122C6A3A" w14:textId="77777777" w:rsidR="00EA30F8" w:rsidRDefault="00000000">
      <w:pPr>
        <w:spacing w:after="245"/>
        <w:ind w:left="-5"/>
      </w:pPr>
      <w:r>
        <w:t xml:space="preserve">I sensommeren 2024 blev det tydeligt for Hirtshals Havn, at realiseringen af den besluttede udbygningsplan ville blive dyrere end først antaget. Som følge heraf blev det besluttet at opdele helhedsplanen i mindre delprojekter. Det er derfor uklart, hvad der præcist vil ske fremadrettet, og arbejdet med VVM-redegørelsen er endnu ikke afsluttet med en offentlig høring.   </w:t>
      </w:r>
    </w:p>
    <w:p w14:paraId="4CF3FAED" w14:textId="77777777" w:rsidR="00EA30F8" w:rsidRDefault="00000000">
      <w:pPr>
        <w:pStyle w:val="Overskrift2"/>
        <w:spacing w:after="34" w:line="259" w:lineRule="auto"/>
        <w:ind w:left="-5"/>
        <w:jc w:val="left"/>
      </w:pPr>
      <w:bookmarkStart w:id="13" w:name="_Toc7055"/>
      <w:r>
        <w:rPr>
          <w:color w:val="0F4761"/>
          <w:sz w:val="32"/>
        </w:rPr>
        <w:t xml:space="preserve">Seneste nyt </w:t>
      </w:r>
      <w:bookmarkEnd w:id="13"/>
    </w:p>
    <w:p w14:paraId="46EE375B" w14:textId="77777777" w:rsidR="00EA30F8" w:rsidRDefault="00000000">
      <w:pPr>
        <w:ind w:left="-5"/>
      </w:pPr>
      <w:r>
        <w:t xml:space="preserve">Hjørring Kommune har den 11. februar 2025 sendt en ansøgning om tilladelse til kystbeskyttelse i offentlig høring. Ansøgningen vedrører det "Kommunale Fællesprojekt om kystbeskyttelse på strækninger langs Hjørring Kommunes vestvendte kyst". Projektet inkluderer muligheden for at benytte sand fra havnen, både indsejlingen og opsamling ved den vestlige mole. </w:t>
      </w:r>
    </w:p>
    <w:p w14:paraId="3BCE6F0F" w14:textId="77777777" w:rsidR="00EA30F8" w:rsidRDefault="00000000">
      <w:pPr>
        <w:spacing w:after="521"/>
        <w:ind w:left="-5"/>
      </w:pPr>
      <w:r>
        <w:t xml:space="preserve">Da projektet vil benytte sand fra Hirtshals Havn, besluttede Kystsikringsgruppen på et arbejdsmøde den 13. februar 2025, at der skal indsendes et høringssvar. For at sikre konsistens i forhold til den tidligere fremsendte anmodning om at inddrage tilladelsen til nyttiggørelse har vi anmodet advokat Louise Faber om at indsende et høringsskrift. </w:t>
      </w:r>
    </w:p>
    <w:p w14:paraId="7987537C" w14:textId="77777777" w:rsidR="00EA30F8" w:rsidRDefault="00000000">
      <w:pPr>
        <w:pStyle w:val="Overskrift1"/>
        <w:ind w:left="-5"/>
      </w:pPr>
      <w:bookmarkStart w:id="14" w:name="_Toc7056"/>
      <w:r>
        <w:t xml:space="preserve">Fællesmøde </w:t>
      </w:r>
      <w:bookmarkEnd w:id="14"/>
    </w:p>
    <w:p w14:paraId="579AAF5C" w14:textId="77777777" w:rsidR="00EA30F8" w:rsidRDefault="00000000">
      <w:pPr>
        <w:ind w:left="-5"/>
      </w:pPr>
      <w:r>
        <w:t xml:space="preserve">Vores interessenter inviteres til møde om kystsikringen i Tannisbugt den 13. april 2025 (Invitationsliste vedhæftet – Tilmeldelse nødvendigt). Kystsikringsgruppen vil give en orientering om vores arbejde, den nuværende status og vores fremtidige visioner. Desuden vil vi drøfte muligheden for at styrke vores organisering. I denne forbindelse ønsker vi at forbedre vores relationer til interessenterne, som vi repræsenterer, samt skabe mulighed for at dække de udgifter, der er forbundet med gruppens arbejde. </w:t>
      </w:r>
    </w:p>
    <w:p w14:paraId="64464B3D" w14:textId="77777777" w:rsidR="00EA30F8" w:rsidRDefault="00000000">
      <w:pPr>
        <w:spacing w:after="191"/>
        <w:ind w:left="-5"/>
      </w:pPr>
      <w:r>
        <w:t xml:space="preserve">Interessenterne omfatter: </w:t>
      </w:r>
    </w:p>
    <w:p w14:paraId="77C155CC" w14:textId="77777777" w:rsidR="00EA30F8" w:rsidRDefault="00000000">
      <w:pPr>
        <w:numPr>
          <w:ilvl w:val="0"/>
          <w:numId w:val="3"/>
        </w:numPr>
        <w:spacing w:after="27"/>
        <w:ind w:hanging="360"/>
      </w:pPr>
      <w:r>
        <w:t xml:space="preserve">Grundejerforeninger, </w:t>
      </w:r>
      <w:proofErr w:type="spellStart"/>
      <w:r>
        <w:t>vejlaug</w:t>
      </w:r>
      <w:proofErr w:type="spellEnd"/>
      <w:r>
        <w:t xml:space="preserve"> og lignende langs Tannisbugt – fra Hirtshals Havn til Gl. Skagen </w:t>
      </w:r>
    </w:p>
    <w:p w14:paraId="4F056FDD" w14:textId="77777777" w:rsidR="00EA30F8" w:rsidRDefault="00000000">
      <w:pPr>
        <w:numPr>
          <w:ilvl w:val="0"/>
          <w:numId w:val="3"/>
        </w:numPr>
        <w:spacing w:after="146"/>
        <w:ind w:hanging="360"/>
      </w:pPr>
      <w:r>
        <w:t xml:space="preserve">Virksomheder med interesser inden for kystturisme i Tannisbugt. </w:t>
      </w:r>
    </w:p>
    <w:p w14:paraId="1EA15BC3" w14:textId="77777777" w:rsidR="00EA30F8" w:rsidRDefault="00000000">
      <w:pPr>
        <w:ind w:left="-5"/>
      </w:pPr>
      <w:r>
        <w:lastRenderedPageBreak/>
        <w:t xml:space="preserve">For at styrke relationerne til interessenterne mener vi, at der er behov for hyppigere møder end de seneste år. Spørgsmålet er, om vi skal: </w:t>
      </w:r>
    </w:p>
    <w:p w14:paraId="2F49FF96" w14:textId="77777777" w:rsidR="00EA30F8" w:rsidRDefault="00000000">
      <w:pPr>
        <w:numPr>
          <w:ilvl w:val="0"/>
          <w:numId w:val="3"/>
        </w:numPr>
        <w:spacing w:after="22"/>
        <w:ind w:hanging="360"/>
      </w:pPr>
      <w:r>
        <w:t xml:space="preserve">Afholde et årsmøde hver Palmesøndag på Tannishus kl. 9.00, med mulighed for aflysning, hvis der ikke er behov for mødet. </w:t>
      </w:r>
    </w:p>
    <w:p w14:paraId="44DEFCBA" w14:textId="77777777" w:rsidR="00EA30F8" w:rsidRDefault="00000000">
      <w:pPr>
        <w:numPr>
          <w:ilvl w:val="0"/>
          <w:numId w:val="3"/>
        </w:numPr>
        <w:spacing w:after="146"/>
        <w:ind w:hanging="360"/>
      </w:pPr>
      <w:r>
        <w:t xml:space="preserve">Afholde møder efter Kystsikringsgruppens vurdering af behovet. </w:t>
      </w:r>
    </w:p>
    <w:p w14:paraId="3992403D" w14:textId="77777777" w:rsidR="00EA30F8" w:rsidRDefault="00000000">
      <w:pPr>
        <w:ind w:left="-5"/>
      </w:pPr>
      <w:r>
        <w:t xml:space="preserve">Vi ønsker at udvide repræsentationen i "Kystsikringsgruppen Tannisbugt" til alle kystsamfund. I øjeblikket består arbejdsgruppen primært af repræsentanter fra Kjul, Tversted og Gl. Skagen støttet af Torben Larsen. Arbejdsgruppen: </w:t>
      </w:r>
    </w:p>
    <w:p w14:paraId="3AB747BE" w14:textId="77777777" w:rsidR="00EA30F8" w:rsidRDefault="00000000">
      <w:pPr>
        <w:numPr>
          <w:ilvl w:val="0"/>
          <w:numId w:val="3"/>
        </w:numPr>
        <w:spacing w:after="3"/>
        <w:ind w:hanging="360"/>
      </w:pPr>
      <w:r>
        <w:t xml:space="preserve">Koordinerer samarbejdet i hele Tannisbugt. </w:t>
      </w:r>
    </w:p>
    <w:p w14:paraId="244806DD" w14:textId="77777777" w:rsidR="00EA30F8" w:rsidRDefault="00000000">
      <w:pPr>
        <w:numPr>
          <w:ilvl w:val="0"/>
          <w:numId w:val="3"/>
        </w:numPr>
        <w:ind w:hanging="360"/>
      </w:pPr>
      <w:r>
        <w:t xml:space="preserve">Engagerer og organiserer sig i forhold til de forskellige udfordringer, Tannisbugt står overfor i forhold til erosion og kystsikring. </w:t>
      </w:r>
    </w:p>
    <w:p w14:paraId="7A3C00A8" w14:textId="77777777" w:rsidR="00EA30F8" w:rsidRDefault="00000000">
      <w:pPr>
        <w:spacing w:after="9"/>
        <w:ind w:left="-5"/>
      </w:pPr>
      <w:r>
        <w:t xml:space="preserve">Kystsikringsgruppens arbejde medfører udgifter, herunder til rekvirering af rapporter, advokatbistand og forplejning på møder med og uden eksterne repræsentanter. </w:t>
      </w:r>
    </w:p>
    <w:p w14:paraId="6AF22BF5" w14:textId="77777777" w:rsidR="00EA30F8" w:rsidRDefault="00000000">
      <w:pPr>
        <w:ind w:left="-5"/>
      </w:pPr>
      <w:r>
        <w:t xml:space="preserve">Interessenterne har forskellige muligheder for at bidrage med finansiering, og vi ønsker derfor ikke en ekskluderende tilgang til finansieringen. </w:t>
      </w:r>
    </w:p>
    <w:p w14:paraId="678D4AD1" w14:textId="77777777" w:rsidR="00EA30F8" w:rsidRDefault="00000000">
      <w:pPr>
        <w:ind w:left="-5"/>
      </w:pPr>
      <w:r>
        <w:t xml:space="preserve">Kystsikringsgruppen ønsker mulighed for at iværksætte indsamlingskampagner, som typisk vil bestå af følgende elementer: </w:t>
      </w:r>
    </w:p>
    <w:p w14:paraId="327C14A9" w14:textId="77777777" w:rsidR="00EA30F8" w:rsidRDefault="00000000">
      <w:pPr>
        <w:numPr>
          <w:ilvl w:val="0"/>
          <w:numId w:val="3"/>
        </w:numPr>
        <w:spacing w:after="26"/>
        <w:ind w:hanging="360"/>
      </w:pPr>
      <w:r>
        <w:t xml:space="preserve">Grundejerforeninger og </w:t>
      </w:r>
      <w:proofErr w:type="spellStart"/>
      <w:r>
        <w:t>vejlaug</w:t>
      </w:r>
      <w:proofErr w:type="spellEnd"/>
      <w:r>
        <w:t xml:space="preserve"> – anmodning om et bidrag baseret på antallet af medlemmer. Hvis foreningerne ikke kan foretage en indbetaling på vegne af medlemmerne, opfordres de til at videresende en anmodning til deres medlemmer om en individuel indbetaling til Kystsikringsgruppen. </w:t>
      </w:r>
    </w:p>
    <w:p w14:paraId="5D315DFA" w14:textId="77777777" w:rsidR="00EA30F8" w:rsidRDefault="00000000">
      <w:pPr>
        <w:numPr>
          <w:ilvl w:val="0"/>
          <w:numId w:val="3"/>
        </w:numPr>
        <w:spacing w:after="12" w:line="259" w:lineRule="auto"/>
        <w:ind w:hanging="360"/>
      </w:pPr>
      <w:r>
        <w:t xml:space="preserve">Lokale borgerforeninger, turistforeninger eller lignende – ansøgninger om donationer. </w:t>
      </w:r>
    </w:p>
    <w:p w14:paraId="49EF1DB5" w14:textId="77777777" w:rsidR="00EA30F8" w:rsidRDefault="00000000">
      <w:pPr>
        <w:numPr>
          <w:ilvl w:val="0"/>
          <w:numId w:val="3"/>
        </w:numPr>
        <w:ind w:hanging="360"/>
      </w:pPr>
      <w:r>
        <w:t xml:space="preserve">Virksomheder med interesse i at støtte turismen i Tannisbugt – ansøgninger om donationer. </w:t>
      </w:r>
    </w:p>
    <w:p w14:paraId="75537314" w14:textId="77777777" w:rsidR="00EA30F8" w:rsidRDefault="00000000">
      <w:pPr>
        <w:spacing w:after="14"/>
        <w:ind w:left="-5"/>
      </w:pPr>
      <w:r>
        <w:t xml:space="preserve">Dette princip blev anvendt til at finansiere den rapport, vi tidligere bestilte hos </w:t>
      </w:r>
      <w:proofErr w:type="spellStart"/>
      <w:r>
        <w:t>Niras</w:t>
      </w:r>
      <w:proofErr w:type="spellEnd"/>
      <w:r>
        <w:t xml:space="preserve">. Her blev </w:t>
      </w:r>
    </w:p>
    <w:p w14:paraId="1D72CDAA" w14:textId="77777777" w:rsidR="00EA30F8" w:rsidRDefault="00000000">
      <w:pPr>
        <w:ind w:left="-5"/>
      </w:pPr>
      <w:r>
        <w:t xml:space="preserve">grundejerforeningerne bedt om at bidrage med 20 kr. pr. medlem, medens andre virksomheder, personer og organisationer donerede et beløb. </w:t>
      </w:r>
    </w:p>
    <w:p w14:paraId="5848AEED" w14:textId="77777777" w:rsidR="00EA30F8" w:rsidRDefault="00000000">
      <w:pPr>
        <w:ind w:left="-5"/>
      </w:pPr>
      <w:r>
        <w:t xml:space="preserve">På mødet den 13. april 2025 vil der blive rapporteret på de hidtidige udgifter og indtægter, og fremlagt et fremadrettet budget. </w:t>
      </w:r>
    </w:p>
    <w:p w14:paraId="776B8E77" w14:textId="77777777" w:rsidR="00EA30F8" w:rsidRDefault="00000000">
      <w:pPr>
        <w:spacing w:after="184" w:line="259" w:lineRule="auto"/>
        <w:ind w:left="0" w:firstLine="0"/>
      </w:pPr>
      <w:r>
        <w:t xml:space="preserve"> </w:t>
      </w:r>
    </w:p>
    <w:p w14:paraId="7445594C" w14:textId="77777777" w:rsidR="00EA30F8" w:rsidRDefault="00000000">
      <w:pPr>
        <w:ind w:left="-5"/>
      </w:pPr>
      <w:r>
        <w:t xml:space="preserve">Niels </w:t>
      </w:r>
    </w:p>
    <w:p w14:paraId="237FB25F" w14:textId="77777777" w:rsidR="00EA30F8" w:rsidRDefault="00000000">
      <w:pPr>
        <w:ind w:left="-5"/>
      </w:pPr>
      <w:r>
        <w:t xml:space="preserve">18-2-25 </w:t>
      </w:r>
    </w:p>
    <w:p w14:paraId="74EAA06E" w14:textId="77777777" w:rsidR="00EA30F8" w:rsidRDefault="00000000">
      <w:pPr>
        <w:spacing w:after="184" w:line="259" w:lineRule="auto"/>
        <w:ind w:left="0" w:firstLine="0"/>
      </w:pPr>
      <w:r>
        <w:t xml:space="preserve"> </w:t>
      </w:r>
    </w:p>
    <w:p w14:paraId="68198575" w14:textId="77777777" w:rsidR="00EA30F8" w:rsidRDefault="00000000">
      <w:pPr>
        <w:spacing w:after="184" w:line="259" w:lineRule="auto"/>
        <w:ind w:left="0" w:firstLine="0"/>
      </w:pPr>
      <w:r>
        <w:t xml:space="preserve"> </w:t>
      </w:r>
    </w:p>
    <w:p w14:paraId="3621D01E" w14:textId="77777777" w:rsidR="00EA30F8" w:rsidRDefault="00000000">
      <w:pPr>
        <w:spacing w:after="188" w:line="259" w:lineRule="auto"/>
        <w:ind w:left="0" w:firstLine="0"/>
      </w:pPr>
      <w:r>
        <w:lastRenderedPageBreak/>
        <w:t xml:space="preserve"> </w:t>
      </w:r>
    </w:p>
    <w:p w14:paraId="4A39D6FB" w14:textId="77777777" w:rsidR="00EA30F8" w:rsidRDefault="00000000">
      <w:pPr>
        <w:spacing w:after="0" w:line="259" w:lineRule="auto"/>
        <w:ind w:left="0" w:firstLine="0"/>
      </w:pPr>
      <w:r>
        <w:rPr>
          <w:rFonts w:ascii="Segoe UI" w:eastAsia="Segoe UI" w:hAnsi="Segoe UI" w:cs="Segoe UI"/>
          <w:color w:val="242424"/>
          <w:sz w:val="21"/>
        </w:rPr>
        <w:t xml:space="preserve"> </w:t>
      </w:r>
    </w:p>
    <w:sectPr w:rsidR="00EA30F8">
      <w:footerReference w:type="even" r:id="rId7"/>
      <w:footerReference w:type="default" r:id="rId8"/>
      <w:footerReference w:type="first" r:id="rId9"/>
      <w:pgSz w:w="11908" w:h="16836"/>
      <w:pgMar w:top="1699" w:right="1144" w:bottom="1701" w:left="1133" w:header="708"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02D01" w14:textId="77777777" w:rsidR="00303863" w:rsidRDefault="00303863">
      <w:pPr>
        <w:spacing w:after="0" w:line="240" w:lineRule="auto"/>
      </w:pPr>
      <w:r>
        <w:separator/>
      </w:r>
    </w:p>
  </w:endnote>
  <w:endnote w:type="continuationSeparator" w:id="0">
    <w:p w14:paraId="16B37962" w14:textId="77777777" w:rsidR="00303863" w:rsidRDefault="0030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80A4" w14:textId="77777777" w:rsidR="00EA30F8" w:rsidRDefault="00000000">
    <w:pPr>
      <w:spacing w:after="0" w:line="259" w:lineRule="auto"/>
      <w:ind w:left="12" w:firstLine="0"/>
      <w:jc w:val="center"/>
    </w:pPr>
    <w:r>
      <w:fldChar w:fldCharType="begin"/>
    </w:r>
    <w:r>
      <w:instrText xml:space="preserve"> PAGE   \* MERGEFORMAT </w:instrText>
    </w:r>
    <w:r>
      <w:fldChar w:fldCharType="separate"/>
    </w:r>
    <w:r>
      <w:t>1</w:t>
    </w:r>
    <w:r>
      <w:fldChar w:fldCharType="end"/>
    </w:r>
    <w:r>
      <w:t xml:space="preserve"> </w:t>
    </w:r>
  </w:p>
  <w:p w14:paraId="6C6AF941" w14:textId="77777777" w:rsidR="00EA30F8"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4F9D" w14:textId="77777777" w:rsidR="00EA30F8" w:rsidRDefault="00000000">
    <w:pPr>
      <w:spacing w:after="0" w:line="259" w:lineRule="auto"/>
      <w:ind w:left="12" w:firstLine="0"/>
      <w:jc w:val="center"/>
    </w:pPr>
    <w:r>
      <w:fldChar w:fldCharType="begin"/>
    </w:r>
    <w:r>
      <w:instrText xml:space="preserve"> PAGE   \* MERGEFORMAT </w:instrText>
    </w:r>
    <w:r>
      <w:fldChar w:fldCharType="separate"/>
    </w:r>
    <w:r>
      <w:t>1</w:t>
    </w:r>
    <w:r>
      <w:fldChar w:fldCharType="end"/>
    </w:r>
    <w:r>
      <w:t xml:space="preserve"> </w:t>
    </w:r>
  </w:p>
  <w:p w14:paraId="3A09F6BA" w14:textId="77777777" w:rsidR="00EA30F8"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BA047" w14:textId="77777777" w:rsidR="00EA30F8" w:rsidRDefault="00000000">
    <w:pPr>
      <w:spacing w:after="0" w:line="259" w:lineRule="auto"/>
      <w:ind w:left="12" w:firstLine="0"/>
      <w:jc w:val="center"/>
    </w:pPr>
    <w:r>
      <w:fldChar w:fldCharType="begin"/>
    </w:r>
    <w:r>
      <w:instrText xml:space="preserve"> PAGE   \* MERGEFORMAT </w:instrText>
    </w:r>
    <w:r>
      <w:fldChar w:fldCharType="separate"/>
    </w:r>
    <w:r>
      <w:t>1</w:t>
    </w:r>
    <w:r>
      <w:fldChar w:fldCharType="end"/>
    </w:r>
    <w:r>
      <w:t xml:space="preserve"> </w:t>
    </w:r>
  </w:p>
  <w:p w14:paraId="3690C01A" w14:textId="77777777" w:rsidR="00EA30F8"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B2FC" w14:textId="77777777" w:rsidR="00303863" w:rsidRDefault="00303863">
      <w:pPr>
        <w:spacing w:after="0" w:line="240" w:lineRule="auto"/>
      </w:pPr>
      <w:r>
        <w:separator/>
      </w:r>
    </w:p>
  </w:footnote>
  <w:footnote w:type="continuationSeparator" w:id="0">
    <w:p w14:paraId="3E06178E" w14:textId="77777777" w:rsidR="00303863" w:rsidRDefault="00303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65B71"/>
    <w:multiLevelType w:val="hybridMultilevel"/>
    <w:tmpl w:val="7CF41732"/>
    <w:lvl w:ilvl="0" w:tplc="5BF64F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56FD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A0C2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86C7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3A7D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BE30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4AA3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C3D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D2BA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463BEF"/>
    <w:multiLevelType w:val="hybridMultilevel"/>
    <w:tmpl w:val="DA2EB2C4"/>
    <w:lvl w:ilvl="0" w:tplc="82AC78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5049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A2BE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E018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C4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42FB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A0D5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480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4A7F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771812"/>
    <w:multiLevelType w:val="hybridMultilevel"/>
    <w:tmpl w:val="3AD2FB42"/>
    <w:lvl w:ilvl="0" w:tplc="A2C4B0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A84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2284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AE19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BCF6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A490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CBD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AA46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7896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35838106">
    <w:abstractNumId w:val="1"/>
  </w:num>
  <w:num w:numId="2" w16cid:durableId="139689447">
    <w:abstractNumId w:val="2"/>
  </w:num>
  <w:num w:numId="3" w16cid:durableId="39126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F8"/>
    <w:rsid w:val="00303863"/>
    <w:rsid w:val="00977E81"/>
    <w:rsid w:val="00B85330"/>
    <w:rsid w:val="00EA30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7BE5"/>
  <w15:docId w15:val="{5618B91D-D1F2-4B77-A635-4BF34145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69" w:lineRule="auto"/>
      <w:ind w:left="250" w:hanging="10"/>
    </w:pPr>
    <w:rPr>
      <w:rFonts w:ascii="Calibri" w:eastAsia="Calibri" w:hAnsi="Calibri" w:cs="Calibri"/>
      <w:color w:val="000000"/>
    </w:rPr>
  </w:style>
  <w:style w:type="paragraph" w:styleId="Overskrift1">
    <w:name w:val="heading 1"/>
    <w:next w:val="Normal"/>
    <w:link w:val="Overskrift1Tegn"/>
    <w:uiPriority w:val="9"/>
    <w:qFormat/>
    <w:pPr>
      <w:keepNext/>
      <w:keepLines/>
      <w:spacing w:after="0" w:line="259" w:lineRule="auto"/>
      <w:ind w:left="13" w:hanging="10"/>
      <w:outlineLvl w:val="0"/>
    </w:pPr>
    <w:rPr>
      <w:rFonts w:ascii="Calibri" w:eastAsia="Calibri" w:hAnsi="Calibri" w:cs="Calibri"/>
      <w:color w:val="0F4761"/>
      <w:sz w:val="40"/>
    </w:rPr>
  </w:style>
  <w:style w:type="paragraph" w:styleId="Overskrift2">
    <w:name w:val="heading 2"/>
    <w:next w:val="Normal"/>
    <w:link w:val="Overskrift2Tegn"/>
    <w:uiPriority w:val="9"/>
    <w:unhideWhenUsed/>
    <w:qFormat/>
    <w:pPr>
      <w:keepNext/>
      <w:keepLines/>
      <w:spacing w:after="8" w:line="284" w:lineRule="auto"/>
      <w:ind w:left="250" w:hanging="10"/>
      <w:jc w:val="both"/>
      <w:outlineLvl w:val="1"/>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color w:val="0F4761"/>
      <w:sz w:val="40"/>
    </w:rPr>
  </w:style>
  <w:style w:type="character" w:customStyle="1" w:styleId="Overskrift2Tegn">
    <w:name w:val="Overskrift 2 Tegn"/>
    <w:link w:val="Overskrift2"/>
    <w:rPr>
      <w:rFonts w:ascii="Calibri" w:eastAsia="Calibri" w:hAnsi="Calibri" w:cs="Calibri"/>
      <w:color w:val="000000"/>
      <w:sz w:val="24"/>
    </w:rPr>
  </w:style>
  <w:style w:type="paragraph" w:styleId="Indholdsfortegnelse1">
    <w:name w:val="toc 1"/>
    <w:hidden/>
    <w:pPr>
      <w:spacing w:after="122" w:line="259" w:lineRule="auto"/>
      <w:ind w:left="25" w:right="15" w:hanging="10"/>
    </w:pPr>
    <w:rPr>
      <w:rFonts w:ascii="Calibri" w:eastAsia="Calibri" w:hAnsi="Calibri" w:cs="Calibri"/>
      <w:color w:val="000000"/>
    </w:rPr>
  </w:style>
  <w:style w:type="paragraph" w:styleId="Indholdsfortegnelse2">
    <w:name w:val="toc 2"/>
    <w:hidden/>
    <w:pPr>
      <w:spacing w:after="122" w:line="259" w:lineRule="auto"/>
      <w:ind w:left="265" w:right="15"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2324</Words>
  <Characters>14183</Characters>
  <Application>Microsoft Office Word</Application>
  <DocSecurity>0</DocSecurity>
  <Lines>118</Lines>
  <Paragraphs>32</Paragraphs>
  <ScaleCrop>false</ScaleCrop>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M Olesen</dc:creator>
  <cp:keywords/>
  <cp:lastModifiedBy>Poul Holm</cp:lastModifiedBy>
  <cp:revision>2</cp:revision>
  <dcterms:created xsi:type="dcterms:W3CDTF">2025-05-01T13:35:00Z</dcterms:created>
  <dcterms:modified xsi:type="dcterms:W3CDTF">2025-05-01T13:35:00Z</dcterms:modified>
</cp:coreProperties>
</file>